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oobxqvfbu2o4" w:id="0"/>
      <w:bookmarkEnd w:id="0"/>
      <w:r w:rsidDel="00000000" w:rsidR="00000000" w:rsidRPr="00000000">
        <w:rPr>
          <w:b w:val="1"/>
          <w:sz w:val="34"/>
          <w:szCs w:val="34"/>
          <w:rtl w:val="1"/>
        </w:rPr>
        <w:t xml:space="preserve">مقدمة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الانتماء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تعريفه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ومعنوية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وفكرية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وواقعية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والمنتمي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أرضه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عائلته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wniktragsos8" w:id="1"/>
      <w:bookmarkEnd w:id="1"/>
      <w:r w:rsidDel="00000000" w:rsidR="00000000" w:rsidRPr="00000000">
        <w:rPr>
          <w:b w:val="1"/>
          <w:sz w:val="34"/>
          <w:szCs w:val="34"/>
          <w:rtl w:val="1"/>
        </w:rPr>
        <w:t xml:space="preserve">مفهوم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الانتماء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مفهوم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تناولها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الأخيرة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وتعددت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تعريفات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وأنواعه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ويمكننا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كالآتي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c89ipclv4yq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تعريف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الانتماء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لغة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انتسب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المواطنة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لبلدها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أوروبي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عربي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ومعنوي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انتميت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المرأة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وملكه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وهكذا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8kydbiqceol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تعريف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الانتماء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اصطلاحا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الاصطلاحي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لأجله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وروحي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واعتزاز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انتمائه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لـدينه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بتعاملاته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والاجتماعية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تؤكد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أننتسب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p68kl3iqqb2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ومن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التعريفات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الشاملة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للانتماء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التعريف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الآتي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تتوجد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تعريفات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يقصد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كتعلق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بأسرته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بوطنه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،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تمسك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بعنصر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يحافظ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العنصر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النواحي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الوجدانية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العاطفية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الارتفاع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بالفخر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الاعتزاز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الشيء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d9gzzeciphe" w:id="5"/>
      <w:bookmarkEnd w:id="5"/>
      <w:r w:rsidDel="00000000" w:rsidR="00000000" w:rsidRPr="00000000">
        <w:rPr>
          <w:b w:val="1"/>
          <w:sz w:val="34"/>
          <w:szCs w:val="34"/>
          <w:rtl w:val="1"/>
        </w:rPr>
        <w:t xml:space="preserve">فلسفة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الانتماء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الفلسفي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الجماعة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الأساليب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الانسجام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المعتقدات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يؤمنون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والانسجام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الجماعة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80041z335s3y" w:id="6"/>
      <w:bookmarkEnd w:id="6"/>
      <w:r w:rsidDel="00000000" w:rsidR="00000000" w:rsidRPr="00000000">
        <w:rPr>
          <w:b w:val="1"/>
          <w:sz w:val="34"/>
          <w:szCs w:val="34"/>
          <w:rtl w:val="1"/>
        </w:rPr>
        <w:t xml:space="preserve">أنواع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الانتماء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تقسيم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أنواع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7dyy5gjle9c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الانتماء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الديني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أنواع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،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المبادئ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تطبيقها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الصحيحة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ينتج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بالأخلاق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والمبادئ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تطبيق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والقواعد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i3x9j3klm9h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الانتماء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الوطني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أنواع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توافرها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المواطنين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المعتقدات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والمفاهيم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والمبادئ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مترابط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ومتفاهم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والنهوض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ggb5l15lj9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الانتماء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الفكري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مصداقيتها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والظروف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والعوامل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ظهورها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أمثلة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ikq4unz7myb" w:id="10"/>
      <w:bookmarkEnd w:id="10"/>
      <w:r w:rsidDel="00000000" w:rsidR="00000000" w:rsidRPr="00000000">
        <w:rPr>
          <w:b w:val="1"/>
          <w:sz w:val="34"/>
          <w:szCs w:val="34"/>
          <w:rtl w:val="1"/>
        </w:rPr>
        <w:t xml:space="preserve">خصائص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الانتماء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يضم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أنواعه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الخصائص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يقنن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الظواهر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البطالة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انعدام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الصحيحة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حاول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تجعله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حافظ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الممتلكات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الثابتة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لصعوبة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التخلي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ننشر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المعتقدات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والأخلاق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والإيثار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والتعاطف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يمثل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فبدونه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إهدار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ممتلكات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المحافظة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يمطنه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خيانته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p2pscmhobm0f" w:id="11"/>
      <w:bookmarkEnd w:id="11"/>
      <w:r w:rsidDel="00000000" w:rsidR="00000000" w:rsidRPr="00000000">
        <w:rPr>
          <w:b w:val="1"/>
          <w:sz w:val="34"/>
          <w:szCs w:val="34"/>
          <w:rtl w:val="1"/>
        </w:rPr>
        <w:t xml:space="preserve">أهمية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انتماء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الأفراد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لشيء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ما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لأسرته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لمجتمعه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باختصار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انتشار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قلة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المشاكل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الإخلاص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الموضوعة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أبناءه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وتحقيقها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em0riixzhud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وقد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ناقش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الكاتب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محمد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الطائي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حديثه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هذا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المفهوم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موضوع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مطول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أسباب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ضعفه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خاصة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لدى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الصغار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والشباب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منها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خلل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الظروف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البيئية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الترابطي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المتنامي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الكبر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والعبء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وبعدها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بحيث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مفهوم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وتشجع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وعلى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1"/>
          </w:rPr>
          <w:t xml:space="preserve">العمل</w:t>
        </w:r>
      </w:hyperlink>
      <w:hyperlink r:id="rId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1"/>
          </w:rPr>
          <w:t xml:space="preserve">التطوعي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7z9zj3qwubin" w:id="13"/>
      <w:bookmarkEnd w:id="13"/>
      <w:r w:rsidDel="00000000" w:rsidR="00000000" w:rsidRPr="00000000">
        <w:rPr>
          <w:b w:val="1"/>
          <w:sz w:val="34"/>
          <w:szCs w:val="34"/>
          <w:rtl w:val="1"/>
        </w:rPr>
        <w:t xml:space="preserve">مفهوم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الانتماء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للوطن</w:t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للوطن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المواطنين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المقيمين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إقامة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المحيطين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التصويري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بداخله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بالوطن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والمحافظة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وحمايته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الأعداء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بداخله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المعتقدات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ومحاولة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تطبيقها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العائدة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الفوائد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orw49du5yxkg" w:id="14"/>
      <w:bookmarkEnd w:id="14"/>
      <w:r w:rsidDel="00000000" w:rsidR="00000000" w:rsidRPr="00000000">
        <w:rPr>
          <w:b w:val="1"/>
          <w:sz w:val="34"/>
          <w:szCs w:val="34"/>
          <w:rtl w:val="1"/>
        </w:rPr>
        <w:t xml:space="preserve">أهداف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الانتماء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للوطن</w:t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تكمن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للوطن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والتفاهم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المعتقدات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ليعم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المحافظة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الممتلكات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بالقوانين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والأوامر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بالعقائد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يضعها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الأوطان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وأهمها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والتطور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q2vthn56hz18" w:id="15"/>
      <w:bookmarkEnd w:id="15"/>
      <w:r w:rsidDel="00000000" w:rsidR="00000000" w:rsidRPr="00000000">
        <w:rPr>
          <w:b w:val="1"/>
          <w:sz w:val="34"/>
          <w:szCs w:val="34"/>
          <w:rtl w:val="1"/>
        </w:rPr>
        <w:t xml:space="preserve">خاتمة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الانتماء</w:t>
      </w:r>
    </w:p>
    <w:p w:rsidR="00000000" w:rsidDel="00000000" w:rsidP="00000000" w:rsidRDefault="00000000" w:rsidRPr="00000000" w14:paraId="0000003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نؤكد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تتواجد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والتعايش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أفراده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سيوفر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للمواطنين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osoah.com/career-and-education/education/volunteer-work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mosoah.com/career-and-education/education/volunteer-work/" TargetMode="External"/><Relationship Id="rId7" Type="http://schemas.openxmlformats.org/officeDocument/2006/relationships/hyperlink" Target="https://www.mosoah.com/career-and-education/education/volunteer-work/" TargetMode="External"/><Relationship Id="rId8" Type="http://schemas.openxmlformats.org/officeDocument/2006/relationships/hyperlink" Target="https://www.mosoah.com/career-and-education/education/volunteer-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