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s6hvms8v7caw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تعريف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تطوير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الذات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المعطاة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نلحظ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لتسهيل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مقصود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ويمكننا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واحترامها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وتشعره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بقدراته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الأفعال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أفلاطون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بقناعاته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وفطرته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والسلوكيات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المنبوذة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تشبهه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قناعاته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الارتقاء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إكساب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لينعكس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فالإنسان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الاستفادة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22ehohk44yfx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متطلبات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تطوير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وتنمية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المهارات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الشخصية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الإرادة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والمبرر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إدراك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وقصيرة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المدى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ومتدرجة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التوقيت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عنصر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الصبر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الصعوبات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موثوقة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إرشادية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ومقاومة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والوساوس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المثبطة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اكتشاف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والتجديد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معالجتها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مساعد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والإفادة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المرونة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استيعاب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ودمجها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اكتشف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تجنبها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وإيجاد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تخلصك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إهمال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معقول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المثبطين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والمحبطين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وتجاهل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إصلاحه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إفشالك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لتفشل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الأصدقاء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كفاءتك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والتسويف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المسببة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لضياع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والتراكمات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الفاسدة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ودعك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لمهاراتك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وتنقيها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وأديتها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بإتقان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وتأني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والذكر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لتيسير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الصدق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مخلصة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عافانا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وآداب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تهملهما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9xwrn412fqxt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أهمية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التطوير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الذاتي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بالفوائد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طاعة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بركته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سهولة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بالإيجاب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والوطن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قدوة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للنشء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المخلوق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لأجله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وحكمته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لإيمانياتك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والطموحات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البساطة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والرفاهية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الفجوة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المنافسة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وتخطيها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وبذل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للارتقاء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30e09hyy56u1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تطوير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وتنمية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الشخصية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للارتقاء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الكريمة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يغيروا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بأنفسهم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والتغيير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وأفضل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