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klo561fa2laj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مقدمة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تقرير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الطقس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والمناخ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الصف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الثامن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الهوائية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صعودها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الوزن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المناخ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للمنطقة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الطقس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1vfk426hdek9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عناصر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الطقس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والمناخ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الرياح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درجة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الحرارة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يقيسون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الزئبق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اخترع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وأسرع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ضغط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الهواء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خفيفة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انخفاض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بالغيوم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الرطوبة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رطوبة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المطر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يتكون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سقوط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والمحيطات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سيصعد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وبالأخص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الشتاء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qgi5xqkjj95v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معلومات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الطقس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والمناخ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توليدها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المنخفض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نوضحها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الأعاصير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الجوية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الضخمة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المنخفض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ويصاحبها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والغيوم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المنخفض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لحدوثها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المنخفض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جبهة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الكتلتين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الهوائيتين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التيارات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النفاثة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السريعة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والمرتفعة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الأعاصير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المرتفع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ويصاحبها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منخفضة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مناخها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2nuhwphh2jsk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خاتمة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تقرير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الطقس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والمناخ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الصف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الثامن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والرطوبةـ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الأعاصير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والأمطار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والرياح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البرق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والرعد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الطقس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المناخي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للبلاد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الساحلية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والارتفاع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